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04" w:rsidRPr="008A01A2" w:rsidRDefault="00663A33" w:rsidP="008A01A2">
      <w:pPr>
        <w:bidi/>
        <w:spacing w:after="0"/>
        <w:jc w:val="center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8A01A2">
        <w:rPr>
          <w:rFonts w:ascii="Noor_Badr" w:hAnsi="Noor_Badr" w:cs="Noor_Badr"/>
          <w:sz w:val="32"/>
          <w:szCs w:val="32"/>
          <w:rtl/>
          <w:lang w:bidi="fa-IR"/>
        </w:rPr>
        <w:t>خارج اصول</w:t>
      </w:r>
    </w:p>
    <w:p w:rsidR="00663A33" w:rsidRPr="008A01A2" w:rsidRDefault="00663A33" w:rsidP="008A01A2">
      <w:pPr>
        <w:pBdr>
          <w:bottom w:val="single" w:sz="12" w:space="1" w:color="auto"/>
        </w:pBdr>
        <w:bidi/>
        <w:spacing w:after="0"/>
        <w:jc w:val="center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جلسه </w:t>
      </w:r>
      <w:r w:rsidR="008A01A2">
        <w:rPr>
          <w:rFonts w:ascii="Noor_Badr" w:hAnsi="Noor_Badr" w:cs="Noor_Badr" w:hint="cs"/>
          <w:sz w:val="32"/>
          <w:szCs w:val="32"/>
          <w:rtl/>
          <w:lang w:bidi="fa-IR"/>
        </w:rPr>
        <w:t xml:space="preserve">53 * </w:t>
      </w:r>
      <w:r w:rsidRPr="008A01A2">
        <w:rPr>
          <w:rFonts w:ascii="Noor_Badr" w:hAnsi="Noor_Badr" w:cs="Noor_Badr"/>
          <w:sz w:val="32"/>
          <w:szCs w:val="32"/>
          <w:rtl/>
          <w:lang w:bidi="fa-IR"/>
        </w:rPr>
        <w:t>سه شنبه 4/ 10/ 97</w:t>
      </w:r>
    </w:p>
    <w:bookmarkEnd w:id="0"/>
    <w:p w:rsidR="00663A33" w:rsidRPr="008A01A2" w:rsidRDefault="00663A33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حدیث-ادامه خطبه وسیله</w:t>
      </w:r>
    </w:p>
    <w:p w:rsidR="00663A33" w:rsidRPr="008A01A2" w:rsidRDefault="00663A33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أيها الناس إنه من نظر في عيب نفسه اشتغل عن عيب غيره</w:t>
      </w:r>
      <w:r w:rsidR="006E15D4" w:rsidRPr="008A01A2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663A33" w:rsidRPr="008A01A2" w:rsidRDefault="00663A33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663A33" w:rsidRPr="008A01A2" w:rsidRDefault="00BF4F10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خلاصه مطالب گذشته</w:t>
      </w:r>
    </w:p>
    <w:p w:rsidR="00BF4F10" w:rsidRPr="008A01A2" w:rsidRDefault="00BF4F10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1-حکم ظاهری گاهی ناظر به حکم واقعی است</w:t>
      </w:r>
      <w:r w:rsidR="00367D42" w:rsidRPr="008A01A2">
        <w:rPr>
          <w:rFonts w:ascii="Noor_Badr" w:hAnsi="Noor_Badr" w:cs="Noor_Badr"/>
          <w:sz w:val="32"/>
          <w:szCs w:val="32"/>
          <w:rtl/>
          <w:lang w:bidi="fa-IR"/>
        </w:rPr>
        <w:t>(</w:t>
      </w:r>
      <w:r w:rsidR="00865AE2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که </w:t>
      </w:r>
      <w:r w:rsidR="00367D42" w:rsidRPr="008A01A2">
        <w:rPr>
          <w:rFonts w:ascii="Noor_Badr" w:hAnsi="Noor_Badr" w:cs="Noor_Badr"/>
          <w:sz w:val="32"/>
          <w:szCs w:val="32"/>
          <w:rtl/>
          <w:lang w:bidi="fa-IR"/>
        </w:rPr>
        <w:t>مؤدای اماره</w:t>
      </w:r>
      <w:r w:rsidR="00865AE2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نام دارد</w:t>
      </w:r>
      <w:r w:rsidR="00367D42" w:rsidRPr="008A01A2">
        <w:rPr>
          <w:rFonts w:ascii="Noor_Badr" w:hAnsi="Noor_Badr" w:cs="Noor_Badr"/>
          <w:sz w:val="32"/>
          <w:szCs w:val="32"/>
          <w:rtl/>
          <w:lang w:bidi="fa-IR"/>
        </w:rPr>
        <w:t>) وگاهی ناظر به آن نیست(</w:t>
      </w:r>
      <w:r w:rsidR="00865AE2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که </w:t>
      </w:r>
      <w:r w:rsidR="00367D42" w:rsidRPr="008A01A2">
        <w:rPr>
          <w:rFonts w:ascii="Noor_Badr" w:hAnsi="Noor_Badr" w:cs="Noor_Badr"/>
          <w:sz w:val="32"/>
          <w:szCs w:val="32"/>
          <w:rtl/>
          <w:lang w:bidi="fa-IR"/>
        </w:rPr>
        <w:t>مؤدای اصول</w:t>
      </w:r>
      <w:r w:rsidR="00865AE2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نام دارد</w:t>
      </w:r>
      <w:r w:rsidR="00367D42" w:rsidRPr="008A01A2">
        <w:rPr>
          <w:rFonts w:ascii="Noor_Badr" w:hAnsi="Noor_Badr" w:cs="Noor_Badr"/>
          <w:sz w:val="32"/>
          <w:szCs w:val="32"/>
          <w:rtl/>
          <w:lang w:bidi="fa-IR"/>
        </w:rPr>
        <w:t>).</w:t>
      </w:r>
    </w:p>
    <w:p w:rsidR="00367D42" w:rsidRPr="008A01A2" w:rsidRDefault="00367D42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2-اصول بر دو قسم است:</w:t>
      </w:r>
    </w:p>
    <w:p w:rsidR="00367D42" w:rsidRPr="008A01A2" w:rsidRDefault="00367D42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1)اصول تحکّمیة: مانند اصالةالطهارة و اصالة الحلیة؛</w:t>
      </w:r>
    </w:p>
    <w:p w:rsidR="00367D42" w:rsidRPr="008A01A2" w:rsidRDefault="00367D42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2)اصول رافع تحیّر: غیر دو مورد بالا غالباً.</w:t>
      </w:r>
    </w:p>
    <w:p w:rsidR="00367D42" w:rsidRPr="008A01A2" w:rsidRDefault="00367D42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3-جعل شرطیت احدالضدین بر دو قسم است:</w:t>
      </w:r>
    </w:p>
    <w:p w:rsidR="00367D42" w:rsidRPr="008A01A2" w:rsidRDefault="00367D42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1)جعل شرطیت یکی مساوی با رفع مانعیت دیگری در عالم واقع است.</w:t>
      </w:r>
    </w:p>
    <w:p w:rsidR="00367D42" w:rsidRPr="008A01A2" w:rsidRDefault="00367D42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2)</w:t>
      </w:r>
      <w:r w:rsidR="007A6891" w:rsidRPr="008A01A2">
        <w:rPr>
          <w:rFonts w:ascii="Noor_Badr" w:hAnsi="Noor_Badr" w:cs="Noor_Badr"/>
          <w:sz w:val="32"/>
          <w:szCs w:val="32"/>
          <w:rtl/>
          <w:lang w:bidi="fa-IR"/>
        </w:rPr>
        <w:t>مساوی با آن</w:t>
      </w:r>
      <w:r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نیست.</w:t>
      </w:r>
    </w:p>
    <w:p w:rsidR="00367D42" w:rsidRPr="008A01A2" w:rsidRDefault="00367D42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4-حکومت بر دو قسم است:</w:t>
      </w:r>
    </w:p>
    <w:p w:rsidR="00367D42" w:rsidRPr="008A01A2" w:rsidRDefault="00367D42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1)حکومت اصطلاحی: دلیل حاکم، شارح</w:t>
      </w:r>
      <w:r w:rsidR="00DE6D4E" w:rsidRPr="008A01A2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دلیل</w:t>
      </w:r>
      <w:r w:rsidR="00DE6D4E" w:rsidRPr="008A01A2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محکوم و متصرف</w:t>
      </w:r>
      <w:r w:rsidR="00DE6D4E" w:rsidRPr="008A01A2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در موضوع و حکم آن می باشد بطوریکه عقدالوضع و عقدالحمل هردو در سلطنت دلیل حاکم قرار می گیرند.</w:t>
      </w:r>
    </w:p>
    <w:p w:rsidR="00367D42" w:rsidRPr="008A01A2" w:rsidRDefault="00367D42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2)غیر اصطلاحی:</w:t>
      </w:r>
      <w:r w:rsidR="008A3B5D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دلیلِ</w:t>
      </w:r>
      <w:r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حاکم، شارح</w:t>
      </w:r>
      <w:r w:rsidR="008A3B5D" w:rsidRPr="008A01A2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8A3B5D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دلیلِ </w:t>
      </w:r>
      <w:r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محکوم نیست که </w:t>
      </w:r>
      <w:r w:rsidR="008A3B5D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این </w:t>
      </w:r>
      <w:r w:rsidRPr="008A01A2">
        <w:rPr>
          <w:rFonts w:ascii="Noor_Badr" w:hAnsi="Noor_Badr" w:cs="Noor_Badr"/>
          <w:sz w:val="32"/>
          <w:szCs w:val="32"/>
          <w:rtl/>
          <w:lang w:bidi="fa-IR"/>
        </w:rPr>
        <w:t>خود دو قسم است: قهری و ظاهری؛ که هیچکدام حکومت اصطلاحی نیستند.</w:t>
      </w:r>
    </w:p>
    <w:p w:rsidR="00367D42" w:rsidRPr="008A01A2" w:rsidRDefault="00367D42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lastRenderedPageBreak/>
        <w:t>5-اگر حکومت</w:t>
      </w:r>
      <w:r w:rsidR="008A3B5D" w:rsidRPr="008A01A2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غیر</w:t>
      </w:r>
      <w:r w:rsidR="008A3B5D" w:rsidRPr="008A01A2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اصطلاحی</w:t>
      </w:r>
      <w:r w:rsidR="008A3B5D" w:rsidRPr="008A01A2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قهری، در اصالة الطهارة و اصالة الحلیة و استصحاب طهارت، منظور آخوند در کفایه باشد، اشکالات محقق خوئی بر ایشان وارد نیست.</w:t>
      </w:r>
    </w:p>
    <w:p w:rsidR="00367D42" w:rsidRPr="008A01A2" w:rsidRDefault="00367D42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6-بین احکام در همه ی چهار مرحله آنها تضاد ممکن است زیرا موجود اعتباری نوعی از وجود است و تضاد و تناقض و ت</w:t>
      </w:r>
      <w:r w:rsidR="00B23E7E" w:rsidRPr="008A01A2">
        <w:rPr>
          <w:rFonts w:ascii="Noor_Badr" w:hAnsi="Noor_Badr" w:cs="Noor_Badr"/>
          <w:sz w:val="32"/>
          <w:szCs w:val="32"/>
          <w:rtl/>
          <w:lang w:bidi="fa-IR"/>
        </w:rPr>
        <w:t>ضایف در موجودات اعتباری معقول است.</w:t>
      </w:r>
    </w:p>
    <w:p w:rsidR="00B23E7E" w:rsidRPr="008A01A2" w:rsidRDefault="00B23E7E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7-از ادله ی شرعی استفاده می شود که طهارت خبثی، شرط ظاهریِ عباداتی همچون نماز است ولی طهارت حدثی، شرط واقعی است بدین جهت اصالة الطهارة در مورد طهارت حدثی جایگاهی ندارد.</w:t>
      </w:r>
    </w:p>
    <w:p w:rsidR="00B23E7E" w:rsidRPr="008A01A2" w:rsidRDefault="00B23E7E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8-استصحاب طهارت در طهارت حدثی</w:t>
      </w:r>
      <w:r w:rsidR="008A3B5D" w:rsidRPr="008A01A2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مانند اصالة الطهارة جاعل طهارت</w:t>
      </w:r>
      <w:r w:rsidR="003F75AC" w:rsidRPr="008A01A2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بعنوان شرط واقعی در عالم ظاهر</w:t>
      </w:r>
      <w:r w:rsidR="008A3B5D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نیست</w:t>
      </w:r>
      <w:r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در حدی که مانعیت</w:t>
      </w:r>
      <w:r w:rsidR="008A3B5D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حدث را در واقع برطرف کند.</w:t>
      </w:r>
    </w:p>
    <w:p w:rsidR="00367D42" w:rsidRPr="008A01A2" w:rsidRDefault="00B23E7E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9-</w:t>
      </w:r>
      <w:r w:rsidR="00F73D9E" w:rsidRPr="008A01A2">
        <w:rPr>
          <w:rFonts w:ascii="Noor_Badr" w:hAnsi="Noor_Badr" w:cs="Noor_Badr"/>
          <w:sz w:val="32"/>
          <w:szCs w:val="32"/>
          <w:rtl/>
          <w:lang w:bidi="fa-IR"/>
        </w:rPr>
        <w:t>اگر بپذیریم که شارع در زمان شک</w:t>
      </w:r>
      <w:r w:rsidR="00E303EE" w:rsidRPr="008A01A2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F73D9E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در</w:t>
      </w:r>
      <w:r w:rsidR="00E303EE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وجودِ</w:t>
      </w:r>
      <w:r w:rsidR="00F73D9E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طهارت حدثی، طهارت ظاهری را نازل منزله ی طهارت واقعی قرار داده است، بطوریکه مانعیت</w:t>
      </w:r>
      <w:r w:rsidR="00E303EE" w:rsidRPr="008A01A2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F73D9E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ضد آن (یعنی نجاست) منع شده است، کلام آخوند(</w:t>
      </w:r>
      <w:r w:rsidR="00C30330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یعنی </w:t>
      </w:r>
      <w:r w:rsidR="00F73D9E" w:rsidRPr="008A01A2">
        <w:rPr>
          <w:rFonts w:ascii="Noor_Badr" w:hAnsi="Noor_Badr" w:cs="Noor_Badr"/>
          <w:sz w:val="32"/>
          <w:szCs w:val="32"/>
          <w:rtl/>
          <w:lang w:bidi="fa-IR"/>
        </w:rPr>
        <w:t>اجزاء در اصول عملیه) فی الجمله صحیح است.</w:t>
      </w:r>
    </w:p>
    <w:p w:rsidR="006701CE" w:rsidRPr="008A01A2" w:rsidRDefault="006701CE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10-اطلاق کلام محقق خوئی در اینکه صاحب کفایه قائل به تفصیل بین امارات واصول شده است و در اصول مطلقا قائل به اجزا و در امارات مطلقا قائل به عدم اجزاست، مطابق نظریه ی ایشان نیست و هو تفسیر بما لایرضی صاحبه.</w:t>
      </w:r>
    </w:p>
    <w:p w:rsidR="00367D42" w:rsidRPr="008A01A2" w:rsidRDefault="00952266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11-درصورتی که نتوانیم حکم ظاهری را در اصالة الطهارة بجای حکم واقعی تنزیل کنیم</w:t>
      </w:r>
      <w:r w:rsidR="006837EF" w:rsidRPr="008A01A2">
        <w:rPr>
          <w:rFonts w:ascii="Noor_Badr" w:hAnsi="Noor_Badr" w:cs="Noor_Badr"/>
          <w:sz w:val="32"/>
          <w:szCs w:val="32"/>
          <w:rtl/>
          <w:lang w:bidi="fa-IR"/>
        </w:rPr>
        <w:t>، قول به اجزاء در باب حکم ظاهری(</w:t>
      </w:r>
      <w:r w:rsidR="008F3560" w:rsidRPr="008A01A2">
        <w:rPr>
          <w:rFonts w:ascii="Noor_Badr" w:hAnsi="Noor_Badr" w:cs="Noor_Badr"/>
          <w:sz w:val="32"/>
          <w:szCs w:val="32"/>
          <w:rtl/>
          <w:lang w:bidi="fa-IR"/>
        </w:rPr>
        <w:t>نه</w:t>
      </w:r>
      <w:r w:rsidR="006837EF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در</w:t>
      </w:r>
      <w:r w:rsidR="008F3560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اصول و نه</w:t>
      </w:r>
      <w:r w:rsidR="006837EF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در</w:t>
      </w:r>
      <w:r w:rsidR="008F3560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امارات</w:t>
      </w:r>
      <w:r w:rsidR="006837EF" w:rsidRPr="008A01A2">
        <w:rPr>
          <w:rFonts w:ascii="Noor_Badr" w:hAnsi="Noor_Badr" w:cs="Noor_Badr"/>
          <w:sz w:val="32"/>
          <w:szCs w:val="32"/>
          <w:rtl/>
          <w:lang w:bidi="fa-IR"/>
        </w:rPr>
        <w:t>)</w:t>
      </w:r>
      <w:r w:rsidR="008F3560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مستلزم کفایت حکم ظاهری از واقعی نیست لذا باید قائل به عدم اجزا و وجوب اعاده و قضا شویم الا بدلیل خاص</w:t>
      </w:r>
      <w:r w:rsidR="003F1B49" w:rsidRPr="008A01A2">
        <w:rPr>
          <w:rFonts w:ascii="Noor_Badr" w:hAnsi="Noor_Badr" w:cs="Noor_Badr"/>
          <w:sz w:val="32"/>
          <w:szCs w:val="32"/>
          <w:rtl/>
          <w:lang w:bidi="fa-IR"/>
        </w:rPr>
        <w:t>؛</w:t>
      </w:r>
      <w:r w:rsidR="008F3560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کما ذهب الیه محقق العراقی(نهایة </w:t>
      </w:r>
      <w:r w:rsidR="003F1B49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الافکار ج1 ص254)و </w:t>
      </w:r>
      <w:r w:rsidR="008F3560" w:rsidRPr="008A01A2">
        <w:rPr>
          <w:rFonts w:ascii="Noor_Badr" w:hAnsi="Noor_Badr" w:cs="Noor_Badr"/>
          <w:sz w:val="32"/>
          <w:szCs w:val="32"/>
          <w:rtl/>
          <w:lang w:bidi="fa-IR"/>
        </w:rPr>
        <w:t>سیدالمجاهد(مفاتیح الاصول</w:t>
      </w:r>
      <w:r w:rsidR="006447CF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ص127</w:t>
      </w:r>
      <w:r w:rsidR="008F3560" w:rsidRPr="008A01A2">
        <w:rPr>
          <w:rFonts w:ascii="Noor_Badr" w:hAnsi="Noor_Badr" w:cs="Noor_Badr"/>
          <w:sz w:val="32"/>
          <w:szCs w:val="32"/>
          <w:rtl/>
          <w:lang w:bidi="fa-IR"/>
        </w:rPr>
        <w:t>)</w:t>
      </w:r>
    </w:p>
    <w:p w:rsidR="008F3560" w:rsidRPr="008A01A2" w:rsidRDefault="008F3560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مفاتیح:</w:t>
      </w:r>
      <w:r w:rsidR="00310A47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</w:p>
    <w:p w:rsidR="007A21E2" w:rsidRPr="008A01A2" w:rsidRDefault="00310A47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و بالجملة مجرّد جعل الشارع شيئا بدلا عن الواقع أو حكم العقل به لا يكون موجبا لسقوط التكليف بعد انكشاف الخطاء و إنّما غاية ذلك جواز الاعتماد على البدل حيث لا يظهر المخالفة للواقع فتأمل</w:t>
      </w:r>
      <w:r w:rsidRPr="008A01A2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1"/>
      </w:r>
      <w:r w:rsidR="007A21E2" w:rsidRPr="008A01A2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017BAC" w:rsidRPr="008A01A2" w:rsidRDefault="00315241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تا اینجا </w:t>
      </w:r>
      <w:r w:rsidR="00017BAC" w:rsidRPr="008A01A2">
        <w:rPr>
          <w:rFonts w:ascii="Noor_Badr" w:hAnsi="Noor_Badr" w:cs="Noor_Badr"/>
          <w:sz w:val="32"/>
          <w:szCs w:val="32"/>
          <w:rtl/>
          <w:lang w:bidi="fa-IR"/>
        </w:rPr>
        <w:t>اشکالات محقق خوئی بر صاحب کفایه بررسی شد.</w:t>
      </w:r>
    </w:p>
    <w:p w:rsidR="00165800" w:rsidRPr="008A01A2" w:rsidRDefault="00017BAC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>اما اشکالات محقق نائینی بر صاحب کفایه:</w:t>
      </w:r>
    </w:p>
    <w:p w:rsidR="00DE3E23" w:rsidRPr="008A01A2" w:rsidRDefault="00DE3E23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اشکال اول: </w:t>
      </w:r>
    </w:p>
    <w:p w:rsidR="00DB3554" w:rsidRPr="008A01A2" w:rsidRDefault="00017BAC" w:rsidP="008A01A2">
      <w:pPr>
        <w:bidi/>
        <w:spacing w:after="0"/>
        <w:jc w:val="both"/>
        <w:rPr>
          <w:rFonts w:ascii="Noor_Badr" w:hAnsi="Noor_Badr" w:cs="Noor_Badr"/>
          <w:sz w:val="32"/>
          <w:szCs w:val="32"/>
          <w:lang w:bidi="fa-IR"/>
        </w:rPr>
      </w:pPr>
      <w:r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حکومت به نظر </w:t>
      </w:r>
      <w:r w:rsidR="00AA2898" w:rsidRPr="008A01A2">
        <w:rPr>
          <w:rFonts w:ascii="Noor_Badr" w:hAnsi="Noor_Badr" w:cs="Noor_Badr"/>
          <w:sz w:val="32"/>
          <w:szCs w:val="32"/>
          <w:rtl/>
          <w:lang w:bidi="fa-IR"/>
        </w:rPr>
        <w:t>صاحب کفایه</w:t>
      </w:r>
      <w:r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، حکومتی است که توسط </w:t>
      </w:r>
      <w:r w:rsidR="00976E56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کلماتی </w:t>
      </w:r>
      <w:r w:rsidR="00517843" w:rsidRPr="008A01A2">
        <w:rPr>
          <w:rFonts w:ascii="Noor_Badr" w:hAnsi="Noor_Badr" w:cs="Noor_Badr"/>
          <w:sz w:val="32"/>
          <w:szCs w:val="32"/>
          <w:rtl/>
          <w:lang w:bidi="fa-IR"/>
        </w:rPr>
        <w:t>نظیر</w:t>
      </w:r>
      <w:r w:rsidR="00976E56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"اعنی" </w:t>
      </w:r>
      <w:r w:rsidR="00517843" w:rsidRPr="008A01A2">
        <w:rPr>
          <w:rFonts w:ascii="Noor_Badr" w:hAnsi="Noor_Badr" w:cs="Noor_Badr"/>
          <w:sz w:val="32"/>
          <w:szCs w:val="32"/>
          <w:rtl/>
          <w:lang w:bidi="fa-IR"/>
        </w:rPr>
        <w:t>و</w:t>
      </w:r>
      <w:r w:rsidR="00976E56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"اردت"</w:t>
      </w:r>
      <w:r w:rsidR="00517843" w:rsidRPr="008A01A2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3034DC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شارح و</w:t>
      </w:r>
      <w:r w:rsidR="00517843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مفسّر دلیل محکوم باشد؛ به همین جهت</w:t>
      </w:r>
      <w:r w:rsidR="00AA2898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مرحوم</w:t>
      </w:r>
      <w:r w:rsidR="00517843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D74A86" w:rsidRPr="008A01A2">
        <w:rPr>
          <w:rFonts w:ascii="Noor_Badr" w:hAnsi="Noor_Badr" w:cs="Noor_Badr"/>
          <w:sz w:val="32"/>
          <w:szCs w:val="32"/>
          <w:rtl/>
          <w:lang w:bidi="fa-IR"/>
        </w:rPr>
        <w:t>آخوند،</w:t>
      </w:r>
      <w:r w:rsidR="00517843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ادله ی نفی ضرر را حاکم بر ادله ی احکام واقعی نمی داند و همچنین ادله ی اجتهادی را حاکم بر اصول عملیه نمی داند زیرا هیچکدام</w:t>
      </w:r>
      <w:r w:rsidR="00D74A86" w:rsidRPr="008A01A2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517843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شارح </w:t>
      </w:r>
      <w:r w:rsidR="003034DC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و مفسّرِ </w:t>
      </w:r>
      <w:r w:rsidR="00517843" w:rsidRPr="008A01A2">
        <w:rPr>
          <w:rFonts w:ascii="Noor_Badr" w:hAnsi="Noor_Badr" w:cs="Noor_Badr"/>
          <w:sz w:val="32"/>
          <w:szCs w:val="32"/>
          <w:rtl/>
          <w:lang w:bidi="fa-IR"/>
        </w:rPr>
        <w:t>ادله ی مقدم</w:t>
      </w:r>
      <w:r w:rsidR="0077197E" w:rsidRPr="008A01A2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517843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بر آن نیست لذا</w:t>
      </w:r>
      <w:r w:rsidR="00D74A86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ایشان</w:t>
      </w:r>
      <w:r w:rsidR="00517843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در مانحن فیه نمی تواند قائل شود به حکومت</w:t>
      </w:r>
      <w:r w:rsidR="0077197E" w:rsidRPr="008A01A2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517843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ادله ی احکام</w:t>
      </w:r>
      <w:r w:rsidR="0077197E" w:rsidRPr="008A01A2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517843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ظاهری بر واقعی</w:t>
      </w:r>
      <w:r w:rsidR="0021430B" w:rsidRPr="008A01A2">
        <w:rPr>
          <w:rFonts w:ascii="Noor_Badr" w:hAnsi="Noor_Badr" w:cs="Noor_Badr"/>
          <w:sz w:val="32"/>
          <w:szCs w:val="32"/>
          <w:rtl/>
          <w:lang w:bidi="fa-IR"/>
        </w:rPr>
        <w:t>؛</w:t>
      </w:r>
      <w:r w:rsidR="00B3250B" w:rsidRPr="008A01A2">
        <w:rPr>
          <w:rFonts w:ascii="Noor_Badr" w:hAnsi="Noor_Badr" w:cs="Noor_Badr"/>
          <w:sz w:val="32"/>
          <w:szCs w:val="32"/>
          <w:rtl/>
          <w:lang w:bidi="fa-IR"/>
        </w:rPr>
        <w:t>(</w:t>
      </w:r>
      <w:r w:rsidR="00517843" w:rsidRPr="008A01A2">
        <w:rPr>
          <w:rFonts w:ascii="Noor_Badr" w:hAnsi="Noor_Badr" w:cs="Noor_Badr"/>
          <w:sz w:val="32"/>
          <w:szCs w:val="32"/>
          <w:rtl/>
          <w:lang w:bidi="fa-IR"/>
        </w:rPr>
        <w:t>زیرا اصالة الطهارة و اصالة الحلیة، شارح</w:t>
      </w:r>
      <w:r w:rsidR="00846A31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و مفسّر</w:t>
      </w:r>
      <w:r w:rsidR="00B3250B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ادله ی شروط واقعی نیستند)</w:t>
      </w:r>
      <w:r w:rsidR="008D5235" w:rsidRPr="008A01A2">
        <w:rPr>
          <w:rFonts w:ascii="Noor_Badr" w:hAnsi="Noor_Badr" w:cs="Noor_Badr"/>
          <w:sz w:val="32"/>
          <w:szCs w:val="32"/>
          <w:rtl/>
          <w:lang w:bidi="fa-IR"/>
        </w:rPr>
        <w:t>در حالیکه اجزاء در اینجا متوقف بر این حکومت</w:t>
      </w:r>
      <w:r w:rsidR="00E81C1F" w:rsidRPr="008A01A2">
        <w:rPr>
          <w:rFonts w:ascii="Noor_Badr" w:hAnsi="Noor_Badr" w:cs="Noor_Badr"/>
          <w:sz w:val="32"/>
          <w:szCs w:val="32"/>
          <w:rtl/>
          <w:lang w:bidi="fa-IR"/>
        </w:rPr>
        <w:t xml:space="preserve"> است.</w:t>
      </w:r>
      <w:r w:rsidR="00DB3554" w:rsidRPr="008A01A2">
        <w:rPr>
          <w:rFonts w:ascii="Noor_Badr" w:hAnsi="Noor_Badr" w:cs="Noor_Badr"/>
          <w:sz w:val="32"/>
          <w:szCs w:val="32"/>
          <w:rtl/>
          <w:lang w:bidi="fa-IR"/>
        </w:rPr>
        <w:t>(پایان)</w:t>
      </w:r>
    </w:p>
    <w:sectPr w:rsidR="00DB3554" w:rsidRPr="008A01A2" w:rsidSect="00663A33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666" w:rsidRDefault="00713666" w:rsidP="00310A47">
      <w:pPr>
        <w:spacing w:after="0" w:line="240" w:lineRule="auto"/>
      </w:pPr>
      <w:r>
        <w:separator/>
      </w:r>
    </w:p>
  </w:endnote>
  <w:endnote w:type="continuationSeparator" w:id="0">
    <w:p w:rsidR="00713666" w:rsidRDefault="00713666" w:rsidP="00310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666" w:rsidRDefault="00713666" w:rsidP="00310A47">
      <w:pPr>
        <w:spacing w:after="0" w:line="240" w:lineRule="auto"/>
      </w:pPr>
      <w:r>
        <w:separator/>
      </w:r>
    </w:p>
  </w:footnote>
  <w:footnote w:type="continuationSeparator" w:id="0">
    <w:p w:rsidR="00713666" w:rsidRDefault="00713666" w:rsidP="00310A47">
      <w:pPr>
        <w:spacing w:after="0" w:line="240" w:lineRule="auto"/>
      </w:pPr>
      <w:r>
        <w:continuationSeparator/>
      </w:r>
    </w:p>
  </w:footnote>
  <w:footnote w:id="1">
    <w:p w:rsidR="00310A47" w:rsidRPr="00310A47" w:rsidRDefault="00310A47" w:rsidP="00310A47">
      <w:pPr>
        <w:pStyle w:val="FootnoteText"/>
        <w:rPr>
          <w:sz w:val="24"/>
          <w:szCs w:val="24"/>
        </w:rPr>
      </w:pPr>
      <w:r w:rsidRPr="00310A47">
        <w:rPr>
          <w:rStyle w:val="FootnoteReference"/>
          <w:sz w:val="24"/>
          <w:szCs w:val="24"/>
        </w:rPr>
        <w:footnoteRef/>
      </w:r>
      <w:r w:rsidRPr="00310A47">
        <w:rPr>
          <w:sz w:val="24"/>
          <w:szCs w:val="24"/>
        </w:rPr>
        <w:t xml:space="preserve"> </w:t>
      </w:r>
      <w:r w:rsidRPr="00310A47">
        <w:rPr>
          <w:rFonts w:hint="cs"/>
          <w:sz w:val="24"/>
          <w:szCs w:val="24"/>
          <w:rtl/>
          <w:lang w:bidi="fa-IR"/>
        </w:rPr>
        <w:t>مفاتيح الأصول، ص: 127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A33"/>
    <w:rsid w:val="00003CE4"/>
    <w:rsid w:val="00017BAC"/>
    <w:rsid w:val="000338BE"/>
    <w:rsid w:val="00163B83"/>
    <w:rsid w:val="00165800"/>
    <w:rsid w:val="001A66E8"/>
    <w:rsid w:val="0021430B"/>
    <w:rsid w:val="003034DC"/>
    <w:rsid w:val="00310A47"/>
    <w:rsid w:val="00315241"/>
    <w:rsid w:val="00367D42"/>
    <w:rsid w:val="003F1B49"/>
    <w:rsid w:val="003F75AC"/>
    <w:rsid w:val="00517843"/>
    <w:rsid w:val="005C7205"/>
    <w:rsid w:val="006447CF"/>
    <w:rsid w:val="00663A33"/>
    <w:rsid w:val="006701CE"/>
    <w:rsid w:val="006837EF"/>
    <w:rsid w:val="006B11BB"/>
    <w:rsid w:val="006E15D4"/>
    <w:rsid w:val="00713666"/>
    <w:rsid w:val="0077197E"/>
    <w:rsid w:val="00785C24"/>
    <w:rsid w:val="007A21E2"/>
    <w:rsid w:val="007A6891"/>
    <w:rsid w:val="00846A31"/>
    <w:rsid w:val="00865AE2"/>
    <w:rsid w:val="00896E10"/>
    <w:rsid w:val="008A01A2"/>
    <w:rsid w:val="008A3B5D"/>
    <w:rsid w:val="008C2175"/>
    <w:rsid w:val="008D5235"/>
    <w:rsid w:val="008F3560"/>
    <w:rsid w:val="00952266"/>
    <w:rsid w:val="00976E56"/>
    <w:rsid w:val="00AA2898"/>
    <w:rsid w:val="00B23E7E"/>
    <w:rsid w:val="00B3250B"/>
    <w:rsid w:val="00BF4F10"/>
    <w:rsid w:val="00C30330"/>
    <w:rsid w:val="00CA0346"/>
    <w:rsid w:val="00D44E35"/>
    <w:rsid w:val="00D74A86"/>
    <w:rsid w:val="00DB3554"/>
    <w:rsid w:val="00DE3E23"/>
    <w:rsid w:val="00DE6D4E"/>
    <w:rsid w:val="00E303EE"/>
    <w:rsid w:val="00E81C1F"/>
    <w:rsid w:val="00F73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10A4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0A4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10A47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310A47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10A4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0A4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10A47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310A4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7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34</cp:revision>
  <dcterms:created xsi:type="dcterms:W3CDTF">2019-01-23T06:53:00Z</dcterms:created>
  <dcterms:modified xsi:type="dcterms:W3CDTF">2020-08-24T02:10:00Z</dcterms:modified>
</cp:coreProperties>
</file>